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48" w:rsidRPr="00CC2648" w:rsidRDefault="00CC2648" w:rsidP="00CC2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2648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CC2648" w:rsidRPr="00CC2648" w:rsidRDefault="00CC2648" w:rsidP="00CC2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2648">
        <w:rPr>
          <w:rFonts w:ascii="Times New Roman" w:hAnsi="Times New Roman" w:cs="Times New Roman"/>
          <w:sz w:val="26"/>
          <w:szCs w:val="26"/>
        </w:rPr>
        <w:sym w:font="Symbol" w:char="F0B2"/>
      </w:r>
      <w:r w:rsidRPr="00CC2648">
        <w:rPr>
          <w:rFonts w:ascii="Times New Roman" w:hAnsi="Times New Roman" w:cs="Times New Roman"/>
          <w:sz w:val="26"/>
          <w:szCs w:val="26"/>
        </w:rPr>
        <w:t>Городковическая средняя школа</w:t>
      </w:r>
      <w:r w:rsidRPr="00CC2648">
        <w:rPr>
          <w:rFonts w:ascii="Times New Roman" w:hAnsi="Times New Roman" w:cs="Times New Roman"/>
          <w:sz w:val="26"/>
          <w:szCs w:val="26"/>
        </w:rPr>
        <w:sym w:font="Symbol" w:char="F0B2"/>
      </w:r>
      <w:r w:rsidRPr="00CC26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2648" w:rsidRPr="00CC2648" w:rsidRDefault="00CC2648" w:rsidP="00CC26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2648">
        <w:rPr>
          <w:rFonts w:ascii="Times New Roman" w:hAnsi="Times New Roman" w:cs="Times New Roman"/>
          <w:sz w:val="26"/>
          <w:szCs w:val="26"/>
        </w:rPr>
        <w:t>Спасского муниципального района Рязанской области</w:t>
      </w:r>
    </w:p>
    <w:p w:rsidR="00CC2648" w:rsidRPr="00CC2648" w:rsidRDefault="00CC2648" w:rsidP="00CC2648">
      <w:pPr>
        <w:spacing w:after="0" w:line="240" w:lineRule="auto"/>
        <w:jc w:val="center"/>
        <w:rPr>
          <w:rFonts w:ascii="Times New Roman" w:hAnsi="Times New Roman" w:cs="Times New Roman"/>
          <w:sz w:val="2"/>
          <w:szCs w:val="26"/>
        </w:rPr>
      </w:pPr>
    </w:p>
    <w:p w:rsidR="00CC2648" w:rsidRPr="00CC2648" w:rsidRDefault="00CC2648" w:rsidP="00CC2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2648">
        <w:rPr>
          <w:rFonts w:ascii="Times New Roman" w:hAnsi="Times New Roman" w:cs="Times New Roman"/>
          <w:sz w:val="26"/>
          <w:szCs w:val="26"/>
        </w:rPr>
        <w:t>391072, Рязанская область, Спасский район, с. Лакаш</w:t>
      </w:r>
      <w:proofErr w:type="gramStart"/>
      <w:r w:rsidRPr="00CC264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C26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2648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CC2648">
        <w:rPr>
          <w:rFonts w:ascii="Times New Roman" w:hAnsi="Times New Roman" w:cs="Times New Roman"/>
          <w:sz w:val="26"/>
          <w:szCs w:val="26"/>
        </w:rPr>
        <w:t>л. Молодёжная, д. 2</w:t>
      </w:r>
      <w:r w:rsidRPr="00CC2648">
        <w:rPr>
          <w:rFonts w:ascii="Times New Roman" w:hAnsi="Times New Roman" w:cs="Times New Roman"/>
          <w:sz w:val="26"/>
          <w:szCs w:val="26"/>
        </w:rPr>
        <w:br/>
        <w:t xml:space="preserve">Тел./Факс  (491)357-22-94, </w:t>
      </w:r>
      <w:r w:rsidRPr="00CC264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C2648">
        <w:rPr>
          <w:rFonts w:ascii="Times New Roman" w:hAnsi="Times New Roman" w:cs="Times New Roman"/>
          <w:sz w:val="26"/>
          <w:szCs w:val="26"/>
        </w:rPr>
        <w:t>-</w:t>
      </w:r>
      <w:r w:rsidRPr="00CC264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C2648">
        <w:rPr>
          <w:rFonts w:ascii="Times New Roman" w:hAnsi="Times New Roman" w:cs="Times New Roman"/>
          <w:sz w:val="26"/>
          <w:szCs w:val="26"/>
        </w:rPr>
        <w:t xml:space="preserve">: </w:t>
      </w:r>
      <w:r w:rsidRPr="00CC2648">
        <w:rPr>
          <w:rFonts w:ascii="Times New Roman" w:hAnsi="Times New Roman" w:cs="Times New Roman"/>
          <w:sz w:val="26"/>
          <w:szCs w:val="26"/>
          <w:lang w:val="en-US"/>
        </w:rPr>
        <w:t>spassk</w:t>
      </w:r>
      <w:r w:rsidRPr="00CC2648">
        <w:rPr>
          <w:rFonts w:ascii="Times New Roman" w:hAnsi="Times New Roman" w:cs="Times New Roman"/>
          <w:sz w:val="26"/>
          <w:szCs w:val="26"/>
        </w:rPr>
        <w:t>_</w:t>
      </w:r>
      <w:r w:rsidRPr="00CC2648">
        <w:rPr>
          <w:rFonts w:ascii="Times New Roman" w:hAnsi="Times New Roman" w:cs="Times New Roman"/>
          <w:sz w:val="26"/>
          <w:szCs w:val="26"/>
          <w:lang w:val="en-US"/>
        </w:rPr>
        <w:t>gs</w:t>
      </w:r>
      <w:r w:rsidRPr="00CC2648">
        <w:rPr>
          <w:rFonts w:ascii="Times New Roman" w:hAnsi="Times New Roman" w:cs="Times New Roman"/>
          <w:sz w:val="26"/>
          <w:szCs w:val="26"/>
        </w:rPr>
        <w:t>@</w:t>
      </w:r>
      <w:r w:rsidRPr="00CC264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C2648">
        <w:rPr>
          <w:rFonts w:ascii="Times New Roman" w:hAnsi="Times New Roman" w:cs="Times New Roman"/>
          <w:sz w:val="26"/>
          <w:szCs w:val="26"/>
        </w:rPr>
        <w:t>.</w:t>
      </w:r>
      <w:r w:rsidRPr="00CC2648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CC2648" w:rsidRDefault="00CC2648" w:rsidP="00CC2648">
      <w:pPr>
        <w:jc w:val="both"/>
        <w:rPr>
          <w:sz w:val="4"/>
        </w:rPr>
      </w:pPr>
    </w:p>
    <w:p w:rsidR="00CC2648" w:rsidRDefault="00CC2648" w:rsidP="00CC2648">
      <w:pPr>
        <w:jc w:val="both"/>
        <w:rPr>
          <w:sz w:val="4"/>
        </w:rPr>
      </w:pPr>
    </w:p>
    <w:p w:rsidR="00CC2648" w:rsidRDefault="00CC2648" w:rsidP="00CC2648">
      <w:pPr>
        <w:jc w:val="both"/>
        <w:rPr>
          <w:sz w:val="4"/>
        </w:rPr>
      </w:pP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400"/>
      </w:tblGrid>
      <w:tr w:rsidR="00CC2648" w:rsidRPr="000F1FF0" w:rsidTr="00946165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648" w:rsidRPr="000F1FF0" w:rsidRDefault="00CC2648" w:rsidP="0094616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648" w:rsidRPr="000F1FF0" w:rsidRDefault="00CC2648" w:rsidP="009461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CC2648" w:rsidRPr="000F1FF0" w:rsidRDefault="00CC2648" w:rsidP="009461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CC2648" w:rsidRPr="000F1FF0" w:rsidRDefault="00CC2648" w:rsidP="009461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____________________Корнеева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2648" w:rsidRPr="000F1FF0" w:rsidRDefault="00CC2648" w:rsidP="009461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140-д от 17.11</w:t>
            </w: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г.</w:t>
            </w:r>
          </w:p>
        </w:tc>
      </w:tr>
    </w:tbl>
    <w:p w:rsidR="00CC2648" w:rsidRDefault="00CC2648" w:rsidP="00CC2648">
      <w:pPr>
        <w:jc w:val="both"/>
        <w:rPr>
          <w:sz w:val="4"/>
        </w:rPr>
      </w:pPr>
    </w:p>
    <w:p w:rsidR="00CC2648" w:rsidRPr="0099298F" w:rsidRDefault="00CC2648" w:rsidP="00CC2648">
      <w:pPr>
        <w:jc w:val="both"/>
        <w:rPr>
          <w:sz w:val="4"/>
        </w:rPr>
      </w:pPr>
    </w:p>
    <w:p w:rsidR="000F1FF0" w:rsidRPr="000F1FF0" w:rsidRDefault="000F1FF0" w:rsidP="000F1F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F1FF0" w:rsidRPr="000F1FF0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</w:t>
      </w:r>
      <w:proofErr w:type="spell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политике</w:t>
      </w:r>
    </w:p>
    <w:p w:rsidR="000F1FF0" w:rsidRPr="000F1FF0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"Городковическая</w:t>
      </w:r>
      <w:r w:rsidRPr="000F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СШ"</w:t>
      </w:r>
    </w:p>
    <w:p w:rsidR="000F1FF0" w:rsidRPr="000F1FF0" w:rsidRDefault="000F1FF0" w:rsidP="000F1F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 в МБОУ "Городковиче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СШ" (далее 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 разработана во исполнение Федерального закона от 25 декабря 2008 года № 273-ФЗ «О противодействии коррупции».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является обеспечение комплексного и согласованного применения правовых и организационных мер, направленных на борьбу с коррупцией в сфере образования.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Задачами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является:</w:t>
      </w:r>
    </w:p>
    <w:p w:rsidR="000F1FF0" w:rsidRPr="000F1FF0" w:rsidRDefault="000F1FF0" w:rsidP="00CC264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специалистов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0F1FF0" w:rsidRPr="000F1FF0" w:rsidRDefault="000F1FF0" w:rsidP="00CC264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направлений по профилактике коррупции в образовании;</w:t>
      </w:r>
    </w:p>
    <w:p w:rsidR="000F1FF0" w:rsidRPr="000F1FF0" w:rsidRDefault="000F1FF0" w:rsidP="00CC264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нетерпимости к коррупционному поведению.</w:t>
      </w:r>
    </w:p>
    <w:p w:rsidR="000F1FF0" w:rsidRPr="000F1FF0" w:rsidRDefault="000F1FF0" w:rsidP="00CC26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Используемые в политике понятия и определения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Коррупция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Коррупцией также является совершение перечисленных деяний от имени или в 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интересах юридического лица (пункт 1 статьи 1 Федерального закона от 25 декабря 2008 г. № 273-ФЗ «О противодействии коррупции»).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Противодействие коррупции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выявлению, предупреждению, пресечению, раскрытию и расследованию коррупционных правонарушений (борьба с коррупцией);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 минимизации и (или) ликвидации последствий коррупционных правонарушений.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Предупреждение коррупции</w:t>
      </w:r>
      <w:r w:rsidRPr="000F1F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Взятка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Коммерческий подкуп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репутации</w:t>
      </w:r>
      <w:proofErr w:type="gram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работником (представителем организации) которой он является.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Личная заинтересованность работника (представителя организации)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F1FF0" w:rsidRPr="000F1FF0" w:rsidRDefault="000F1FF0" w:rsidP="00CC26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3.Основные принципы </w:t>
      </w:r>
      <w:proofErr w:type="spell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деятельности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мер противодействия коррупции в Школе основываться на следующих ключевых принципах: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соответствия политики Школы действующему законодательству и общепринятым нормам.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личного примера руководства.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вовлеченности работников.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Информированность работников Школы о положениях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</w:t>
      </w:r>
      <w:r w:rsidR="0032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proofErr w:type="spellEnd"/>
      <w:proofErr w:type="gram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активное участие в формировании и реализации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стандартов и процедур.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Принцип соразмерности </w:t>
      </w:r>
      <w:proofErr w:type="spellStart"/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процедур риску коррупции.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Школы, его руководителя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Принцип эффективности  </w:t>
      </w:r>
      <w:proofErr w:type="spellStart"/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процедур.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в Школе таких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приносят значимый результат</w:t>
      </w:r>
      <w:proofErr w:type="gram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Принцип открытости.  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Школе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стандартах ведения деятельности.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Регулярное осуществление мониторинга эффективности внедренных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исполнением.</w:t>
      </w:r>
    </w:p>
    <w:p w:rsidR="00CC2648" w:rsidRPr="000F1FF0" w:rsidRDefault="00CC2648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F0" w:rsidRPr="000F1FF0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Область применения </w:t>
      </w:r>
      <w:proofErr w:type="spell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политики и круг лиц,</w:t>
      </w:r>
    </w:p>
    <w:p w:rsidR="000F1FF0" w:rsidRPr="000F1FF0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попадающих</w:t>
      </w:r>
      <w:proofErr w:type="gram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 ее действие</w:t>
      </w:r>
    </w:p>
    <w:p w:rsidR="000F1FF0" w:rsidRDefault="000F1FF0" w:rsidP="00CC26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кругом лиц, попадающих под действие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Школе на основе гражданско-правовых договоров.  В этом случае соответствующие положения нужно включить в текст договоров.</w:t>
      </w:r>
    </w:p>
    <w:p w:rsidR="00CC2648" w:rsidRPr="000F1FF0" w:rsidRDefault="00CC2648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F0" w:rsidRPr="00CC2648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Определение должностных лиц, ответственных за реализацию </w:t>
      </w:r>
      <w:proofErr w:type="spell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политики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Задачи, функции и полномочия  директора в сфере противодействия коррупции определены его Должностной инструкцией. 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обязанности  включают в частности:</w:t>
      </w:r>
    </w:p>
    <w:p w:rsidR="000F1FF0" w:rsidRPr="000F1FF0" w:rsidRDefault="000F1FF0" w:rsidP="00CC264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политики, кодекса этики и служебного поведения работников.);</w:t>
      </w:r>
    </w:p>
    <w:p w:rsidR="000F1FF0" w:rsidRPr="000F1FF0" w:rsidRDefault="000F1FF0" w:rsidP="00CC264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0F1FF0" w:rsidRPr="000F1FF0" w:rsidRDefault="000F1FF0" w:rsidP="00CC264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Школы или иными лицами;</w:t>
      </w:r>
    </w:p>
    <w:p w:rsidR="000F1FF0" w:rsidRPr="000F1FF0" w:rsidRDefault="000F1FF0" w:rsidP="00CC264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F1FF0" w:rsidRPr="000F1FF0" w:rsidRDefault="000F1FF0" w:rsidP="00CC264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F1FF0" w:rsidRPr="000F1FF0" w:rsidRDefault="000F1FF0" w:rsidP="00CC264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F1FF0" w:rsidRPr="00CC2648" w:rsidRDefault="000F1FF0" w:rsidP="00CC264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оценки результатов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</w:p>
    <w:p w:rsidR="00CC2648" w:rsidRPr="000F1FF0" w:rsidRDefault="00CC2648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F0" w:rsidRPr="00CC2648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Определение и закрепление обязанностей работников, </w:t>
      </w:r>
    </w:p>
    <w:p w:rsidR="000F1FF0" w:rsidRPr="00CC2648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связанных</w:t>
      </w:r>
      <w:proofErr w:type="gram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предупреждением и противодействием коррупции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0F1FF0" w:rsidRPr="000F1FF0" w:rsidRDefault="000F1FF0" w:rsidP="00CC264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0F1FF0" w:rsidRPr="000F1FF0" w:rsidRDefault="000F1FF0" w:rsidP="00CC264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0F1FF0" w:rsidRPr="000F1FF0" w:rsidRDefault="000F1FF0" w:rsidP="00CC264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0F1FF0" w:rsidRPr="000F1FF0" w:rsidRDefault="000F1FF0" w:rsidP="00CC264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информировать директора о ставшей известной  информации о случаях совершения коррупционных правонарушений другими работниками;</w:t>
      </w:r>
    </w:p>
    <w:p w:rsidR="000F1FF0" w:rsidRPr="000F1FF0" w:rsidRDefault="000F1FF0" w:rsidP="00CC264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руководителю о возможности возникновения либо возникшем у работника конфликте интересов.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0F1FF0" w:rsidRP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их положений статьи 57 ТК РФ по соглашению сторон в трудовой договор, заключаемый с работником при приёме его на работу в Школу,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политика». </w:t>
      </w:r>
    </w:p>
    <w:p w:rsidR="000F1FF0" w:rsidRDefault="000F1FF0" w:rsidP="00CC2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и специальные обязанности рекомендуется включить в должностные обязанности работника Школы.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CC2648" w:rsidRPr="000F1FF0" w:rsidRDefault="00CC2648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F0" w:rsidRPr="00CC2648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Установление перечня реализуемых </w:t>
      </w:r>
      <w:proofErr w:type="spell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мероприятий, стандартов и процедур и  порядок их выполнения (применения)</w:t>
      </w:r>
    </w:p>
    <w:p w:rsidR="000F1FF0" w:rsidRPr="000F1FF0" w:rsidRDefault="000F1FF0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53"/>
        <w:gridCol w:w="6432"/>
      </w:tblGrid>
      <w:tr w:rsidR="000F1FF0" w:rsidRPr="000F1FF0" w:rsidTr="00CC2648">
        <w:trPr>
          <w:tblCellSpacing w:w="0" w:type="dxa"/>
          <w:jc w:val="center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F1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F1FF0" w:rsidRPr="000F1FF0" w:rsidTr="00CC2648">
        <w:trPr>
          <w:tblCellSpacing w:w="0" w:type="dxa"/>
          <w:jc w:val="center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принятие Положения об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 Школы.</w:t>
            </w:r>
          </w:p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мероприятий.</w:t>
            </w:r>
          </w:p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организации.</w:t>
            </w:r>
          </w:p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оговорки.</w:t>
            </w:r>
          </w:p>
          <w:p w:rsidR="000F1FF0" w:rsidRPr="000F1FF0" w:rsidRDefault="000F1FF0" w:rsidP="00CC264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положений в должностные обязанности работников.</w:t>
            </w:r>
          </w:p>
        </w:tc>
      </w:tr>
      <w:tr w:rsidR="000F1FF0" w:rsidRPr="000F1FF0" w:rsidTr="00CC2648">
        <w:trPr>
          <w:tblCellSpacing w:w="0" w:type="dxa"/>
          <w:jc w:val="center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процедур.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</w:t>
            </w: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телефона доверия).</w:t>
            </w:r>
          </w:p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  <w:proofErr w:type="gramEnd"/>
          </w:p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0F1FF0" w:rsidRPr="000F1FF0" w:rsidRDefault="000F1FF0" w:rsidP="00CC264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0F1FF0" w:rsidRPr="000F1FF0" w:rsidTr="00CC2648">
        <w:trPr>
          <w:tblCellSpacing w:w="0" w:type="dxa"/>
          <w:jc w:val="center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 и информирование работников.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  <w:p w:rsidR="000F1FF0" w:rsidRPr="000F1FF0" w:rsidRDefault="000F1FF0" w:rsidP="00CC264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стандартов и процедур.</w:t>
            </w:r>
          </w:p>
        </w:tc>
      </w:tr>
      <w:tr w:rsidR="000F1FF0" w:rsidRPr="000F1FF0" w:rsidTr="00CC2648">
        <w:trPr>
          <w:tblCellSpacing w:w="0" w:type="dxa"/>
          <w:jc w:val="center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политики организации.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процедур.</w:t>
            </w:r>
          </w:p>
          <w:p w:rsidR="000F1FF0" w:rsidRPr="000F1FF0" w:rsidRDefault="000F1FF0" w:rsidP="00CC264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0F1FF0" w:rsidRPr="000F1FF0" w:rsidRDefault="000F1FF0" w:rsidP="00CC264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консультантам.</w:t>
            </w:r>
          </w:p>
        </w:tc>
      </w:tr>
      <w:tr w:rsidR="000F1FF0" w:rsidRPr="000F1FF0" w:rsidTr="00CC2648">
        <w:trPr>
          <w:tblCellSpacing w:w="0" w:type="dxa"/>
          <w:jc w:val="center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и распространение отчетных материалов.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коррупции.</w:t>
            </w:r>
          </w:p>
        </w:tc>
      </w:tr>
      <w:tr w:rsidR="000F1FF0" w:rsidRPr="000F1FF0" w:rsidTr="00CC2648">
        <w:trPr>
          <w:tblCellSpacing w:w="0" w:type="dxa"/>
          <w:jc w:val="center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Сотрудничество с правоохранительными </w:t>
            </w: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в сфере противодействия коррупции.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F0" w:rsidRPr="000F1FF0" w:rsidRDefault="000F1FF0" w:rsidP="00CC264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Оказание содействия уполномоченным представителям контрольно-надзорных и правоохранительных органов при </w:t>
            </w:r>
            <w:r w:rsidRPr="000F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проведении ими проверок деятельности организации по противодействию коррупции.</w:t>
            </w:r>
          </w:p>
        </w:tc>
      </w:tr>
    </w:tbl>
    <w:p w:rsidR="000F1FF0" w:rsidRDefault="000F1FF0" w:rsidP="00CC2648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В качестве   приложения к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политике в Школе ежегодно утверждается план реализации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 </w:t>
      </w:r>
    </w:p>
    <w:p w:rsidR="00CC2648" w:rsidRPr="000F1FF0" w:rsidRDefault="00CC2648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F0" w:rsidRPr="00CC2648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Ответственность  сотрудников за несоблюдение требований </w:t>
      </w:r>
      <w:proofErr w:type="spell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политики</w:t>
      </w:r>
    </w:p>
    <w:p w:rsidR="000F1FF0" w:rsidRPr="000F1FF0" w:rsidRDefault="000F1FF0" w:rsidP="00CC2648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работников Школы за коррупционные правонарушения наступает в</w:t>
      </w: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законодательством Российской Федерации.</w:t>
      </w:r>
    </w:p>
    <w:p w:rsidR="000F1FF0" w:rsidRPr="000F1FF0" w:rsidRDefault="000F1FF0" w:rsidP="00CC2648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0F1FF0" w:rsidRDefault="000F1FF0" w:rsidP="00CC2648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права занимать определённые должности муниципальной службы, а также в зависимости от общественной опасности деяния получить наказание в виде штрафа и (или) лишения свободы.</w:t>
      </w:r>
    </w:p>
    <w:p w:rsidR="00CC2648" w:rsidRPr="000F1FF0" w:rsidRDefault="00CC2648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F0" w:rsidRPr="00CC2648" w:rsidRDefault="000F1FF0" w:rsidP="00CC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Порядок пересмотра и внесения изменений в </w:t>
      </w:r>
      <w:proofErr w:type="spellStart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0F1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политику </w:t>
      </w:r>
    </w:p>
    <w:p w:rsidR="000F1FF0" w:rsidRPr="000F1FF0" w:rsidRDefault="000F1FF0" w:rsidP="00CC2648">
      <w:pPr>
        <w:spacing w:before="100" w:beforeAutospacing="1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внесения изменений в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политику заявитель направляет обращение к директору Школы, в котором излагает причины и условия, послужившие основанием обращения.</w:t>
      </w:r>
    </w:p>
    <w:p w:rsidR="000F1FF0" w:rsidRPr="000F1FF0" w:rsidRDefault="000F1FF0" w:rsidP="00CC2648">
      <w:pPr>
        <w:spacing w:before="100" w:beforeAutospacing="1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заявителя подлежит рассмотрению комиссией по соблюдению требований к служебному поведению работников Школы и в течение 30 рабочих дней направляет ответ о результате рассмотрения обращения.</w:t>
      </w:r>
    </w:p>
    <w:p w:rsidR="000F1FF0" w:rsidRPr="000F1FF0" w:rsidRDefault="000F1FF0" w:rsidP="00CC2648">
      <w:pPr>
        <w:spacing w:before="100" w:beforeAutospacing="1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об </w:t>
      </w:r>
      <w:proofErr w:type="spellStart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0F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политике размещается на информационных стендах в помещениях Школы и на официальном сайте Школы.</w:t>
      </w:r>
    </w:p>
    <w:p w:rsidR="008769FD" w:rsidRDefault="008769FD" w:rsidP="00CC2648">
      <w:pPr>
        <w:jc w:val="both"/>
      </w:pPr>
    </w:p>
    <w:sectPr w:rsidR="008769FD" w:rsidSect="00CC26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50AE"/>
    <w:multiLevelType w:val="multilevel"/>
    <w:tmpl w:val="F5C6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F6F96"/>
    <w:multiLevelType w:val="multilevel"/>
    <w:tmpl w:val="1D5A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B6B1B"/>
    <w:multiLevelType w:val="multilevel"/>
    <w:tmpl w:val="54C2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FF0"/>
    <w:rsid w:val="000F1FF0"/>
    <w:rsid w:val="003216ED"/>
    <w:rsid w:val="0043193D"/>
    <w:rsid w:val="008769FD"/>
    <w:rsid w:val="00966F26"/>
    <w:rsid w:val="00AF2ADC"/>
    <w:rsid w:val="00C6549E"/>
    <w:rsid w:val="00CC2648"/>
    <w:rsid w:val="00FD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1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User</cp:lastModifiedBy>
  <cp:revision>3</cp:revision>
  <dcterms:created xsi:type="dcterms:W3CDTF">2017-10-06T12:32:00Z</dcterms:created>
  <dcterms:modified xsi:type="dcterms:W3CDTF">2017-10-10T08:39:00Z</dcterms:modified>
</cp:coreProperties>
</file>